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EFEFEF"/>
  <w:body>
    <w:p w:rsidR="00000000" w:rsidDel="00000000" w:rsidP="00000000" w:rsidRDefault="00000000" w:rsidRPr="00000000" w14:paraId="00000001">
      <w:pPr>
        <w:pStyle w:val="Title"/>
        <w:keepNext w:val="0"/>
        <w:keepLines w:val="0"/>
        <w:spacing w:before="0" w:lineRule="auto"/>
        <w:rPr>
          <w:rFonts w:ascii="Google Sans" w:cs="Google Sans" w:eastAsia="Google Sans" w:hAnsi="Google Sans"/>
        </w:rPr>
      </w:pPr>
      <w:bookmarkStart w:colFirst="0" w:colLast="0" w:name="_d97xouwstyib" w:id="0"/>
      <w:bookmarkEnd w:id="0"/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Altruheuristics Evaluation: Pulse-Check</w:t>
      </w:r>
    </w:p>
    <w:p w:rsidR="00000000" w:rsidDel="00000000" w:rsidP="00000000" w:rsidRDefault="00000000" w:rsidRPr="00000000" w14:paraId="00000002">
      <w:pPr>
        <w:spacing w:after="240" w:lineRule="auto"/>
        <w:rPr>
          <w:rFonts w:ascii="Google Sans" w:cs="Google Sans" w:eastAsia="Google Sans" w:hAnsi="Google Sans"/>
          <w:color w:val="000000"/>
          <w:sz w:val="26"/>
          <w:szCs w:val="26"/>
        </w:rPr>
      </w:pP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Objective:</w:t>
      </w: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 Rapidly identify "Biological Debt" and score interaction severity from 0 to 4.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1"/>
        <w:keepNext w:val="0"/>
        <w:keepLines w:val="0"/>
        <w:spacing w:before="0" w:lineRule="auto"/>
        <w:rPr>
          <w:rFonts w:ascii="Google Sans" w:cs="Google Sans" w:eastAsia="Google Sans" w:hAnsi="Google Sans"/>
        </w:rPr>
      </w:pPr>
      <w:bookmarkStart w:colFirst="0" w:colLast="0" w:name="_qq3sv89xqnug" w:id="1"/>
      <w:bookmarkEnd w:id="1"/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1. The Severity Formula</w:t>
      </w:r>
    </w:p>
    <w:p w:rsidR="00000000" w:rsidDel="00000000" w:rsidP="00000000" w:rsidRDefault="00000000" w:rsidRPr="00000000" w14:paraId="00000004">
      <w:pPr>
        <w:keepNext w:val="0"/>
        <w:keepLines w:val="0"/>
        <w:spacing w:before="0" w:lineRule="auto"/>
        <w:rPr>
          <w:rFonts w:ascii="Google Sans" w:cs="Google Sans" w:eastAsia="Google Sans" w:hAnsi="Google Sans"/>
        </w:rPr>
      </w:pP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Evaluate the interaction against these three pillars. Sum the points for the </w:t>
      </w: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Total Severity Score</w:t>
      </w: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. </w:t>
      </w:r>
    </w:p>
    <w:p w:rsidR="00000000" w:rsidDel="00000000" w:rsidP="00000000" w:rsidRDefault="00000000" w:rsidRPr="00000000" w14:paraId="00000005">
      <w:pPr>
        <w:keepNext w:val="0"/>
        <w:keepLines w:val="0"/>
        <w:spacing w:before="0" w:lineRule="auto"/>
        <w:rPr>
          <w:rFonts w:ascii="Google Sans" w:cs="Google Sans" w:eastAsia="Google Sans" w:hAnsi="Google Sans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25.511811023624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468.7567408208142"/>
        <w:gridCol w:w="5566.436301546551"/>
        <w:gridCol w:w="990.3187686562582"/>
        <w:tblGridChange w:id="0">
          <w:tblGrid>
            <w:gridCol w:w="2468.7567408208142"/>
            <w:gridCol w:w="5566.436301546551"/>
            <w:gridCol w:w="990.3187686562582"/>
          </w:tblGrid>
        </w:tblGridChange>
      </w:tblGrid>
      <w:tr>
        <w:trPr>
          <w:cantSplit w:val="0"/>
          <w:trHeight w:val="530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spacing w:line="240" w:lineRule="auto"/>
              <w:rPr>
                <w:rFonts w:ascii="Google Sans" w:cs="Google Sans" w:eastAsia="Google Sans" w:hAnsi="Google Sans"/>
                <w:b w:val="1"/>
                <w:bCs w:val="1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b w:val="1"/>
                <w:bCs w:val="1"/>
                <w:rtl w:val="0"/>
              </w:rPr>
              <w:t xml:space="preserve">Pillar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spacing w:line="240" w:lineRule="auto"/>
              <w:rPr>
                <w:rFonts w:ascii="Google Sans" w:cs="Google Sans" w:eastAsia="Google Sans" w:hAnsi="Google Sans"/>
                <w:b w:val="1"/>
                <w:bCs w:val="1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b w:val="1"/>
                <w:bCs w:val="1"/>
                <w:rtl w:val="0"/>
              </w:rPr>
              <w:t xml:space="preserve">Scoring Rule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spacing w:line="240" w:lineRule="auto"/>
              <w:rPr>
                <w:rFonts w:ascii="Google Sans" w:cs="Google Sans" w:eastAsia="Google Sans" w:hAnsi="Google Sans"/>
                <w:b w:val="1"/>
                <w:bCs w:val="1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b w:val="1"/>
                <w:bCs w:val="1"/>
                <w:rtl w:val="0"/>
              </w:rPr>
              <w:t xml:space="preserve">Points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1. Incentive Alignment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Does the system reward behaviors that may increase cognitive, emotional, or behavioral load over time?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Yes = 1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2. High-Arousal Trigger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Does the interaction involve high-arousal mechanisms (e.g., craving, stress, or alertness spikes)?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Yes = 1</w:t>
            </w:r>
          </w:p>
        </w:tc>
      </w:tr>
      <w:tr>
        <w:trPr>
          <w:cantSplit w:val="0"/>
          <w:trHeight w:val="225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3. Duration of Exposure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Transient: Effects end immediately</w:t>
            </w:r>
          </w:p>
          <w:p w:rsidR="00000000" w:rsidDel="00000000" w:rsidP="00000000" w:rsidRDefault="00000000" w:rsidRPr="00000000" w14:paraId="00000011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Lingering: Stress or arousal lasts 20–60 minutes</w:t>
            </w:r>
          </w:p>
          <w:p w:rsidR="00000000" w:rsidDel="00000000" w:rsidP="00000000" w:rsidRDefault="00000000" w:rsidRPr="00000000" w14:paraId="00000012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Chronic: Sustained engagement patterns create cumulative load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0</w:t>
            </w:r>
          </w:p>
          <w:p w:rsidR="00000000" w:rsidDel="00000000" w:rsidP="00000000" w:rsidRDefault="00000000" w:rsidRPr="00000000" w14:paraId="00000014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+1</w:t>
            </w:r>
          </w:p>
          <w:p w:rsidR="00000000" w:rsidDel="00000000" w:rsidP="00000000" w:rsidRDefault="00000000" w:rsidRPr="00000000" w14:paraId="00000015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+2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TOTAL SCORE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Sum of the above (Capped at 4)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___ / 4</w:t>
            </w:r>
          </w:p>
        </w:tc>
      </w:tr>
    </w:tbl>
    <w:p w:rsidR="00000000" w:rsidDel="00000000" w:rsidP="00000000" w:rsidRDefault="00000000" w:rsidRPr="00000000" w14:paraId="00000019">
      <w:pPr>
        <w:rPr>
          <w:rFonts w:ascii="Google Sans" w:cs="Google Sans" w:eastAsia="Google Sans" w:hAnsi="Google Sa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Style w:val="Heading1"/>
        <w:keepNext w:val="0"/>
        <w:keepLines w:val="0"/>
        <w:spacing w:before="0" w:lineRule="auto"/>
        <w:rPr>
          <w:rFonts w:ascii="Google Sans" w:cs="Google Sans" w:eastAsia="Google Sans" w:hAnsi="Google Sans"/>
        </w:rPr>
      </w:pPr>
      <w:bookmarkStart w:colFirst="0" w:colLast="0" w:name="_5ekzzq6kapj" w:id="2"/>
      <w:bookmarkEnd w:id="2"/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2. The Severity Scale (Risk Assessment)</w:t>
      </w:r>
    </w:p>
    <w:p w:rsidR="00000000" w:rsidDel="00000000" w:rsidP="00000000" w:rsidRDefault="00000000" w:rsidRPr="00000000" w14:paraId="0000001B">
      <w:pPr>
        <w:numPr>
          <w:ilvl w:val="0"/>
          <w:numId w:val="1"/>
        </w:numPr>
        <w:spacing w:after="0" w:afterAutospacing="0" w:lineRule="auto"/>
        <w:ind w:left="720" w:hanging="360"/>
      </w:pP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0 — </w:t>
      </w:r>
      <w:r w:rsidDel="00000000" w:rsidR="00000000" w:rsidRPr="00000000">
        <w:rPr>
          <w:rFonts w:ascii="Google Sans" w:cs="Google Sans" w:eastAsia="Google Sans" w:hAnsi="Google Sans"/>
          <w:b w:val="1"/>
          <w:bCs w:val="1"/>
          <w:rtl w:val="0"/>
        </w:rPr>
        <w:t xml:space="preserve">Neutral</w:t>
      </w: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:</w:t>
      </w: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 User is in full control; no measurable cognitive or emotional load.</w:t>
      </w:r>
    </w:p>
    <w:p w:rsidR="00000000" w:rsidDel="00000000" w:rsidP="00000000" w:rsidRDefault="00000000" w:rsidRPr="00000000" w14:paraId="0000001C">
      <w:pPr>
        <w:numPr>
          <w:ilvl w:val="0"/>
          <w:numId w:val="1"/>
        </w:numPr>
        <w:spacing w:after="0" w:afterAutospacing="0" w:lineRule="auto"/>
        <w:ind w:left="720" w:hanging="360"/>
      </w:pP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1 — </w:t>
      </w:r>
      <w:r w:rsidDel="00000000" w:rsidR="00000000" w:rsidRPr="00000000">
        <w:rPr>
          <w:rFonts w:ascii="Google Sans" w:cs="Google Sans" w:eastAsia="Google Sans" w:hAnsi="Google Sans"/>
          <w:b w:val="1"/>
          <w:bCs w:val="1"/>
          <w:rtl w:val="0"/>
        </w:rPr>
        <w:t xml:space="preserve">Low Load</w:t>
      </w: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:</w:t>
      </w: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 Minor friction or annoyance; effects end quickly.</w:t>
      </w:r>
    </w:p>
    <w:p w:rsidR="00000000" w:rsidDel="00000000" w:rsidP="00000000" w:rsidRDefault="00000000" w:rsidRPr="00000000" w14:paraId="0000001D">
      <w:pPr>
        <w:numPr>
          <w:ilvl w:val="0"/>
          <w:numId w:val="1"/>
        </w:numPr>
        <w:spacing w:after="0" w:afterAutospacing="0" w:lineRule="auto"/>
        <w:ind w:left="720" w:hanging="360"/>
      </w:pP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2 — </w:t>
      </w:r>
      <w:r w:rsidDel="00000000" w:rsidR="00000000" w:rsidRPr="00000000">
        <w:rPr>
          <w:rFonts w:ascii="Google Sans" w:cs="Google Sans" w:eastAsia="Google Sans" w:hAnsi="Google Sans"/>
          <w:b w:val="1"/>
          <w:bCs w:val="1"/>
          <w:rtl w:val="0"/>
        </w:rPr>
        <w:t xml:space="preserve">Elevated Load</w:t>
      </w: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:</w:t>
      </w: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 Noticeable stress or arousal; effects persist for a short period.</w:t>
      </w:r>
    </w:p>
    <w:p w:rsidR="00000000" w:rsidDel="00000000" w:rsidP="00000000" w:rsidRDefault="00000000" w:rsidRPr="00000000" w14:paraId="0000001E">
      <w:pPr>
        <w:numPr>
          <w:ilvl w:val="0"/>
          <w:numId w:val="1"/>
        </w:numPr>
        <w:spacing w:after="0" w:afterAutospacing="0" w:lineRule="auto"/>
        <w:ind w:left="720" w:hanging="360"/>
      </w:pP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3 — </w:t>
      </w:r>
      <w:r w:rsidDel="00000000" w:rsidR="00000000" w:rsidRPr="00000000">
        <w:rPr>
          <w:rFonts w:ascii="Google Sans" w:cs="Google Sans" w:eastAsia="Google Sans" w:hAnsi="Google Sans"/>
          <w:b w:val="1"/>
          <w:bCs w:val="1"/>
          <w:rtl w:val="0"/>
        </w:rPr>
        <w:t xml:space="preserve">Extractive Dynamics</w:t>
      </w: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:</w:t>
      </w: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 Interaction encourages repeated engagement or stress responses; risk of cumulative load.</w:t>
      </w:r>
    </w:p>
    <w:p w:rsidR="00000000" w:rsidDel="00000000" w:rsidP="00000000" w:rsidRDefault="00000000" w:rsidRPr="00000000" w14:paraId="0000001F">
      <w:pPr>
        <w:numPr>
          <w:ilvl w:val="0"/>
          <w:numId w:val="1"/>
        </w:numPr>
        <w:spacing w:after="240" w:lineRule="auto"/>
        <w:ind w:left="720" w:hanging="360"/>
      </w:pP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4 — </w:t>
      </w:r>
      <w:r w:rsidDel="00000000" w:rsidR="00000000" w:rsidRPr="00000000">
        <w:rPr>
          <w:rFonts w:ascii="Google Sans" w:cs="Google Sans" w:eastAsia="Google Sans" w:hAnsi="Google Sans"/>
          <w:b w:val="1"/>
          <w:bCs w:val="1"/>
          <w:rtl w:val="0"/>
        </w:rPr>
        <w:t xml:space="preserve">High-Risk Loop</w:t>
      </w: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:</w:t>
      </w: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 Persistent engagement patterns create sustained cognitive, emotional, or behavioral strain.</w:t>
      </w:r>
    </w:p>
    <w:p w:rsidR="00000000" w:rsidDel="00000000" w:rsidP="00000000" w:rsidRDefault="00000000" w:rsidRPr="00000000" w14:paraId="00000020">
      <w:pPr>
        <w:pStyle w:val="Heading1"/>
        <w:keepNext w:val="0"/>
        <w:keepLines w:val="0"/>
        <w:spacing w:before="0" w:lineRule="auto"/>
        <w:rPr>
          <w:rFonts w:ascii="Google Sans" w:cs="Google Sans" w:eastAsia="Google Sans" w:hAnsi="Google Sans"/>
        </w:rPr>
      </w:pPr>
      <w:bookmarkStart w:colFirst="0" w:colLast="0" w:name="_rktqhr8i4mk3" w:id="3"/>
      <w:bookmarkEnd w:id="3"/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3. Example Audit: Instagram App</w:t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025.511811023624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395.0544181977257"/>
        <w:gridCol w:w="1796.1882764654422"/>
        <w:gridCol w:w="1849.672790901138"/>
        <w:gridCol w:w="1836.3016622922137"/>
        <w:gridCol w:w="673.0134733158355"/>
        <w:gridCol w:w="1475.281189851269"/>
        <w:tblGridChange w:id="0">
          <w:tblGrid>
            <w:gridCol w:w="1395.0544181977257"/>
            <w:gridCol w:w="1796.1882764654422"/>
            <w:gridCol w:w="1849.672790901138"/>
            <w:gridCol w:w="1836.3016622922137"/>
            <w:gridCol w:w="673.0134733158355"/>
            <w:gridCol w:w="1475.281189851269"/>
          </w:tblGrid>
        </w:tblGridChange>
      </w:tblGrid>
      <w:tr>
        <w:trPr>
          <w:cantSplit w:val="0"/>
          <w:trHeight w:val="785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Feature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Incentive Alignment (0–1)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High-Arousal Trigger (0–1)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Duration of Exposure (0–2)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Total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Class</w:t>
            </w:r>
          </w:p>
        </w:tc>
      </w:tr>
      <w:tr>
        <w:trPr>
          <w:cantSplit w:val="0"/>
          <w:trHeight w:val="785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Infinite Scroll Feed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 (Extractive)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 (High-arousal)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 (Chronic)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C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4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High-Risk Loop</w:t>
            </w:r>
          </w:p>
        </w:tc>
      </w:tr>
      <w:tr>
        <w:trPr>
          <w:cantSplit w:val="0"/>
          <w:trHeight w:val="785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E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Stories Auto-Play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0 (Stable)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 (High-arousal)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 (Lingering)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3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Elevated Load</w:t>
            </w:r>
          </w:p>
        </w:tc>
      </w:tr>
      <w:tr>
        <w:trPr>
          <w:cantSplit w:val="0"/>
          <w:trHeight w:val="785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4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“Limited Time” Ads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 (Extractive)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 (High-arousal)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 (Lingering)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3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Extractive Dynamics</w:t>
            </w:r>
          </w:p>
        </w:tc>
      </w:tr>
      <w:tr>
        <w:trPr>
          <w:cantSplit w:val="0"/>
          <w:trHeight w:val="785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Close Friends List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B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0 (Stable)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0 (Stable)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D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0 (Transient)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E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0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F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Neutral</w:t>
            </w:r>
          </w:p>
        </w:tc>
      </w:tr>
    </w:tbl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Style w:val="Heading1"/>
        <w:keepNext w:val="0"/>
        <w:keepLines w:val="0"/>
        <w:spacing w:before="0" w:lineRule="auto"/>
        <w:rPr>
          <w:rFonts w:ascii="Google Sans" w:cs="Google Sans" w:eastAsia="Google Sans" w:hAnsi="Google Sans"/>
        </w:rPr>
      </w:pPr>
      <w:bookmarkStart w:colFirst="0" w:colLast="0" w:name="_rv744ko14krc" w:id="4"/>
      <w:bookmarkEnd w:id="4"/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4. Technical Rationale (The "Why")</w:t>
      </w:r>
    </w:p>
    <w:p w:rsidR="00000000" w:rsidDel="00000000" w:rsidP="00000000" w:rsidRDefault="00000000" w:rsidRPr="00000000" w14:paraId="00000042">
      <w:pPr>
        <w:numPr>
          <w:ilvl w:val="0"/>
          <w:numId w:val="2"/>
        </w:numPr>
        <w:spacing w:after="0" w:afterAutospacing="0" w:lineRule="auto"/>
        <w:ind w:left="720" w:hanging="360"/>
      </w:pP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Dopamine (Variable Rewards):</w:t>
      </w: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 Patterns like the infinite scroll function like a slot machine. The brain stays "hungry" for the next hit long after the app is closed.</w:t>
      </w:r>
    </w:p>
    <w:p w:rsidR="00000000" w:rsidDel="00000000" w:rsidP="00000000" w:rsidRDefault="00000000" w:rsidRPr="00000000" w14:paraId="00000043">
      <w:pPr>
        <w:numPr>
          <w:ilvl w:val="0"/>
          <w:numId w:val="2"/>
        </w:numPr>
        <w:spacing w:after="240" w:lineRule="auto"/>
        <w:ind w:left="720" w:hanging="360"/>
      </w:pP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Cortisol (Stress Recovery):</w:t>
      </w:r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 High-pressure tactics (countdown timers) trigger a stress response that takes 20-60 minutes to flush from the system.</w:t>
      </w:r>
    </w:p>
    <w:p w:rsidR="00000000" w:rsidDel="00000000" w:rsidP="00000000" w:rsidRDefault="00000000" w:rsidRPr="00000000" w14:paraId="00000044">
      <w:pPr>
        <w:pStyle w:val="Heading1"/>
        <w:keepNext w:val="0"/>
        <w:keepLines w:val="0"/>
        <w:spacing w:before="0" w:lineRule="auto"/>
        <w:rPr>
          <w:rFonts w:ascii="Google Sans" w:cs="Google Sans" w:eastAsia="Google Sans" w:hAnsi="Google Sans"/>
        </w:rPr>
      </w:pPr>
      <w:bookmarkStart w:colFirst="0" w:colLast="0" w:name="_qvuf2152z7o8" w:id="5"/>
      <w:bookmarkEnd w:id="5"/>
      <w:r w:rsidDel="00000000" w:rsidR="00000000" w:rsidRPr="00000000">
        <w:rPr>
          <w:rFonts w:ascii="Google Sans" w:cs="Google Sans" w:eastAsia="Google Sans" w:hAnsi="Google Sans"/>
          <w:rtl w:val="0"/>
        </w:rPr>
        <w:t xml:space="preserve">5. Rapid Triage Log</w:t>
      </w:r>
    </w:p>
    <w:tbl>
      <w:tblPr>
        <w:tblStyle w:val="Table3"/>
        <w:tblW w:w="90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310"/>
        <w:gridCol w:w="1515"/>
        <w:gridCol w:w="1635"/>
        <w:gridCol w:w="1470"/>
        <w:gridCol w:w="2130"/>
        <w:tblGridChange w:id="0">
          <w:tblGrid>
            <w:gridCol w:w="2310"/>
            <w:gridCol w:w="1515"/>
            <w:gridCol w:w="1635"/>
            <w:gridCol w:w="1470"/>
            <w:gridCol w:w="2130"/>
          </w:tblGrid>
        </w:tblGridChange>
      </w:tblGrid>
      <w:tr>
        <w:trPr>
          <w:cantSplit w:val="0"/>
          <w:trHeight w:val="530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5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Interaction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6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Incentive Alignment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7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High-Arousal Trigger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8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Duration of Exposure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9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Fonts w:ascii="Google Sans" w:cs="Google Sans" w:eastAsia="Google Sans" w:hAnsi="Google Sans"/>
                <w:rtl w:val="0"/>
              </w:rPr>
              <w:t xml:space="preserve">Total Score</w:t>
            </w:r>
          </w:p>
        </w:tc>
      </w:tr>
      <w:tr>
        <w:trPr>
          <w:cantSplit w:val="0"/>
          <w:trHeight w:val="905.92529296875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A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B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D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E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80.92529296875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F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0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1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2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3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80.92529296875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4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5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6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7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8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80.92529296875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9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A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B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C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D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80.92529296875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E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F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0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1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2">
            <w:pPr>
              <w:spacing w:line="240" w:lineRule="auto"/>
              <w:rPr>
                <w:rFonts w:ascii="Google Sans" w:cs="Google Sans" w:eastAsia="Google Sans" w:hAnsi="Google Sans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3">
      <w:pPr>
        <w:spacing w:after="240" w:lineRule="auto"/>
        <w:ind w:left="0" w:right="600" w:firstLine="0"/>
        <w:rPr>
          <w:rFonts w:ascii="Google Sans" w:cs="Google Sans" w:eastAsia="Google Sans" w:hAnsi="Google Sans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.0000000000002" w:top="1440.0000000000002" w:left="1440.0000000000002" w:right="1440.000000000000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oogle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Arial" w:cs="Arial" w:eastAsia="Arial" w:hAnsi="Arial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Arial" w:cs="Arial" w:eastAsia="Arial" w:hAnsi="Arial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/>
    </w:tblPr>
  </w:style>
  <w:style w:type="table" w:styleId="Table2">
    <w:basedOn w:val="TableNormal"/>
    <w:tblPr>
      <w:tblStyleRowBandSize w:val="1"/>
      <w:tblStyleColBandSize w:val="1"/>
      <w:tblCellMar/>
    </w:tblPr>
  </w:style>
  <w:style w:type="table" w:styleId="Table3">
    <w:basedOn w:val="TableNormal"/>
    <w:tblPr>
      <w:tblStyleRowBandSize w:val="1"/>
      <w:tblStyleColBandSize w:val="1"/>
      <w:tblCellMar/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GoogleSans-regular.ttf"/><Relationship Id="rId2" Type="http://schemas.openxmlformats.org/officeDocument/2006/relationships/font" Target="fonts/GoogleSans-bold.ttf"/><Relationship Id="rId3" Type="http://schemas.openxmlformats.org/officeDocument/2006/relationships/font" Target="fonts/GoogleSans-italic.ttf"/><Relationship Id="rId4" Type="http://schemas.openxmlformats.org/officeDocument/2006/relationships/font" Target="fonts/Google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